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CF" w:rsidRPr="005F0001" w:rsidRDefault="009F3862" w:rsidP="004C5401">
      <w:pPr>
        <w:jc w:val="both"/>
        <w:rPr>
          <w:rFonts w:ascii="Century Gothic" w:hAnsi="Century Gothic" w:cs="Arial"/>
          <w:b/>
          <w:bCs/>
          <w:sz w:val="28"/>
          <w:szCs w:val="28"/>
        </w:rPr>
      </w:pPr>
      <w:r w:rsidRPr="005F0001">
        <w:rPr>
          <w:rFonts w:ascii="Century Gothic" w:hAnsi="Century Gothic" w:cs="Arial"/>
          <w:b/>
          <w:bCs/>
          <w:noProof/>
          <w:sz w:val="28"/>
          <w:szCs w:val="28"/>
        </w:rPr>
        <mc:AlternateContent>
          <mc:Choice Requires="wps">
            <w:drawing>
              <wp:anchor distT="0" distB="0" distL="114300" distR="114300" simplePos="0" relativeHeight="251660288" behindDoc="0" locked="0" layoutInCell="1" allowOverlap="1" wp14:anchorId="045F5DA4" wp14:editId="599807CF">
                <wp:simplePos x="0" y="0"/>
                <wp:positionH relativeFrom="column">
                  <wp:posOffset>3297555</wp:posOffset>
                </wp:positionH>
                <wp:positionV relativeFrom="paragraph">
                  <wp:posOffset>154305</wp:posOffset>
                </wp:positionV>
                <wp:extent cx="3162300" cy="547370"/>
                <wp:effectExtent l="0" t="0" r="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9.65pt;margin-top:12.15pt;width:249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62fQIAAPs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" stroked="f"/>
            </w:pict>
          </mc:Fallback>
        </mc:AlternateContent>
      </w:r>
      <w:r w:rsidRPr="005F0001">
        <w:rPr>
          <w:rFonts w:ascii="Century Gothic" w:hAnsi="Century Gothic" w:cs="Arial"/>
          <w:b/>
          <w:bCs/>
          <w:noProof/>
          <w:sz w:val="28"/>
          <w:szCs w:val="28"/>
        </w:rPr>
        <mc:AlternateContent>
          <mc:Choice Requires="wps">
            <w:drawing>
              <wp:anchor distT="0" distB="0" distL="114300" distR="114300" simplePos="0" relativeHeight="251659264" behindDoc="0" locked="0" layoutInCell="1" allowOverlap="1" wp14:anchorId="387088FC" wp14:editId="5043FDE4">
                <wp:simplePos x="0" y="0"/>
                <wp:positionH relativeFrom="column">
                  <wp:posOffset>116205</wp:posOffset>
                </wp:positionH>
                <wp:positionV relativeFrom="paragraph">
                  <wp:posOffset>-360045</wp:posOffset>
                </wp:positionV>
                <wp:extent cx="3695700" cy="1061720"/>
                <wp:effectExtent l="0" t="0" r="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E6" w:rsidRDefault="000577C1">
                            <w:pPr>
                              <w:rPr>
                                <w:rFonts w:ascii="Century Gothic" w:hAnsi="Century Gothic"/>
                                <w:b/>
                                <w:sz w:val="36"/>
                                <w:szCs w:val="36"/>
                              </w:rPr>
                            </w:pPr>
                            <w:r>
                              <w:rPr>
                                <w:rFonts w:ascii="Century Gothic" w:hAnsi="Century Gothic"/>
                                <w:b/>
                                <w:sz w:val="36"/>
                                <w:szCs w:val="36"/>
                              </w:rPr>
                              <w:t xml:space="preserve">ISSUE PAPERS </w:t>
                            </w:r>
                          </w:p>
                          <w:p w:rsidR="000577C1" w:rsidRDefault="000577C1">
                            <w:pPr>
                              <w:rPr>
                                <w:rFonts w:ascii="Century Gothic" w:hAnsi="Century Gothic"/>
                                <w:b/>
                                <w:sz w:val="36"/>
                                <w:szCs w:val="36"/>
                              </w:rPr>
                            </w:pPr>
                          </w:p>
                          <w:p w:rsidR="000577C1" w:rsidRDefault="000577C1">
                            <w:pPr>
                              <w:rPr>
                                <w:rFonts w:ascii="Century Gothic" w:hAnsi="Century Gothic"/>
                                <w:sz w:val="28"/>
                                <w:szCs w:val="36"/>
                              </w:rPr>
                            </w:pPr>
                            <w:r w:rsidRPr="000577C1">
                              <w:rPr>
                                <w:rFonts w:ascii="Century Gothic" w:hAnsi="Century Gothic"/>
                                <w:sz w:val="28"/>
                                <w:szCs w:val="36"/>
                              </w:rPr>
                              <w:t xml:space="preserve">Policies and Procedure </w:t>
                            </w:r>
                          </w:p>
                          <w:p w:rsidR="000577C1" w:rsidRPr="000577C1" w:rsidRDefault="000577C1">
                            <w:pPr>
                              <w:rPr>
                                <w:rFonts w:ascii="Century Gothic" w:hAnsi="Century Gothic"/>
                                <w:szCs w:val="28"/>
                              </w:rPr>
                            </w:pPr>
                            <w:r w:rsidRPr="000577C1">
                              <w:rPr>
                                <w:rFonts w:ascii="Century Gothic" w:hAnsi="Century Gothic"/>
                                <w:sz w:val="28"/>
                                <w:szCs w:val="36"/>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28.35pt;width:291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ZU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" filled="f" stroked="f">
                <v:textbox>
                  <w:txbxContent>
                    <w:p w:rsidR="00B04CE6" w:rsidRDefault="000577C1">
                      <w:pPr>
                        <w:rPr>
                          <w:rFonts w:ascii="Century Gothic" w:hAnsi="Century Gothic"/>
                          <w:b/>
                          <w:sz w:val="36"/>
                          <w:szCs w:val="36"/>
                        </w:rPr>
                      </w:pPr>
                      <w:r>
                        <w:rPr>
                          <w:rFonts w:ascii="Century Gothic" w:hAnsi="Century Gothic"/>
                          <w:b/>
                          <w:sz w:val="36"/>
                          <w:szCs w:val="36"/>
                        </w:rPr>
                        <w:t xml:space="preserve">ISSUE PAPERS </w:t>
                      </w:r>
                    </w:p>
                    <w:p w:rsidR="000577C1" w:rsidRDefault="000577C1">
                      <w:pPr>
                        <w:rPr>
                          <w:rFonts w:ascii="Century Gothic" w:hAnsi="Century Gothic"/>
                          <w:b/>
                          <w:sz w:val="36"/>
                          <w:szCs w:val="36"/>
                        </w:rPr>
                      </w:pPr>
                    </w:p>
                    <w:p w:rsidR="000577C1" w:rsidRDefault="000577C1">
                      <w:pPr>
                        <w:rPr>
                          <w:rFonts w:ascii="Century Gothic" w:hAnsi="Century Gothic"/>
                          <w:sz w:val="28"/>
                          <w:szCs w:val="36"/>
                        </w:rPr>
                      </w:pPr>
                      <w:r w:rsidRPr="000577C1">
                        <w:rPr>
                          <w:rFonts w:ascii="Century Gothic" w:hAnsi="Century Gothic"/>
                          <w:sz w:val="28"/>
                          <w:szCs w:val="36"/>
                        </w:rPr>
                        <w:t xml:space="preserve">Policies and Procedure </w:t>
                      </w:r>
                    </w:p>
                    <w:p w:rsidR="000577C1" w:rsidRPr="000577C1" w:rsidRDefault="000577C1">
                      <w:pPr>
                        <w:rPr>
                          <w:rFonts w:ascii="Century Gothic" w:hAnsi="Century Gothic"/>
                          <w:szCs w:val="28"/>
                        </w:rPr>
                      </w:pPr>
                      <w:r w:rsidRPr="000577C1">
                        <w:rPr>
                          <w:rFonts w:ascii="Century Gothic" w:hAnsi="Century Gothic"/>
                          <w:sz w:val="28"/>
                          <w:szCs w:val="36"/>
                        </w:rPr>
                        <w:t>Development</w:t>
                      </w:r>
                    </w:p>
                  </w:txbxContent>
                </v:textbox>
              </v:shape>
            </w:pict>
          </mc:Fallback>
        </mc:AlternateContent>
      </w:r>
      <w:r w:rsidRPr="005F0001">
        <w:rPr>
          <w:rFonts w:ascii="Century Gothic" w:hAnsi="Century Gothic" w:cs="Arial"/>
          <w:b/>
          <w:bCs/>
          <w:noProof/>
          <w:sz w:val="28"/>
          <w:szCs w:val="28"/>
        </w:rPr>
        <mc:AlternateContent>
          <mc:Choice Requires="wps">
            <w:drawing>
              <wp:anchor distT="0" distB="0" distL="114300" distR="114300" simplePos="0" relativeHeight="251658240" behindDoc="0" locked="0" layoutInCell="1" allowOverlap="1" wp14:anchorId="5B700591" wp14:editId="73928189">
                <wp:simplePos x="0" y="0"/>
                <wp:positionH relativeFrom="column">
                  <wp:posOffset>-7620</wp:posOffset>
                </wp:positionH>
                <wp:positionV relativeFrom="paragraph">
                  <wp:posOffset>-474345</wp:posOffset>
                </wp:positionV>
                <wp:extent cx="6309360" cy="13258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3258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37.35pt;width:496.8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" fillcolor="#d8d8d8 [2732]" stroked="f"/>
            </w:pict>
          </mc:Fallback>
        </mc:AlternateContent>
      </w:r>
    </w:p>
    <w:p w:rsidR="003752CF" w:rsidRPr="005F0001" w:rsidRDefault="009F3862" w:rsidP="004C5401">
      <w:pPr>
        <w:jc w:val="both"/>
        <w:rPr>
          <w:rFonts w:ascii="Century Gothic" w:hAnsi="Century Gothic" w:cs="Arial"/>
          <w:b/>
          <w:bCs/>
          <w:sz w:val="28"/>
          <w:szCs w:val="28"/>
        </w:rPr>
      </w:pPr>
      <w:r w:rsidRPr="005F0001">
        <w:rPr>
          <w:rFonts w:ascii="Century Gothic" w:hAnsi="Century Gothic"/>
          <w:noProof/>
        </w:rPr>
        <w:drawing>
          <wp:anchor distT="0" distB="0" distL="114300" distR="114300" simplePos="0" relativeHeight="251662336" behindDoc="0" locked="0" layoutInCell="1" allowOverlap="1" wp14:anchorId="56805A42" wp14:editId="151368A0">
            <wp:simplePos x="0" y="0"/>
            <wp:positionH relativeFrom="column">
              <wp:posOffset>3421380</wp:posOffset>
            </wp:positionH>
            <wp:positionV relativeFrom="paragraph">
              <wp:posOffset>45085</wp:posOffset>
            </wp:positionV>
            <wp:extent cx="2788920" cy="365760"/>
            <wp:effectExtent l="0" t="0" r="0" b="0"/>
            <wp:wrapSquare wrapText="bothSides"/>
            <wp:docPr id="7" name="Picture 7" descr="C:\Users\karen_dersnah\Documents\My Files\ELCA BRAND MARK\EMBLEM\REVISED COLORS\REVISED primary\print\1colorE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_dersnah\Documents\My Files\ELCA BRAND MARK\EMBLEM\REVISED COLORS\REVISED primary\print\1colorEL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2CF" w:rsidRPr="005F0001" w:rsidRDefault="003752CF" w:rsidP="004C5401">
      <w:pPr>
        <w:jc w:val="both"/>
        <w:rPr>
          <w:rFonts w:ascii="Century Gothic" w:hAnsi="Century Gothic" w:cs="Arial"/>
          <w:b/>
          <w:bCs/>
          <w:sz w:val="28"/>
          <w:szCs w:val="28"/>
        </w:rPr>
      </w:pPr>
    </w:p>
    <w:p w:rsidR="003752CF" w:rsidRPr="005F0001" w:rsidRDefault="003752CF" w:rsidP="004C5401">
      <w:pPr>
        <w:jc w:val="both"/>
        <w:rPr>
          <w:rFonts w:ascii="Century Gothic" w:hAnsi="Century Gothic" w:cs="Arial"/>
          <w:b/>
          <w:bCs/>
          <w:sz w:val="28"/>
          <w:szCs w:val="28"/>
        </w:rPr>
      </w:pPr>
      <w:r w:rsidRPr="005F0001">
        <w:rPr>
          <w:rFonts w:ascii="Century Gothic" w:hAnsi="Century Gothic" w:cs="Arial"/>
          <w:b/>
          <w:bCs/>
          <w:sz w:val="28"/>
          <w:szCs w:val="28"/>
        </w:rPr>
        <w:tab/>
      </w:r>
      <w:r w:rsidRPr="005F0001">
        <w:rPr>
          <w:rFonts w:ascii="Century Gothic" w:hAnsi="Century Gothic" w:cs="Arial"/>
          <w:b/>
          <w:bCs/>
          <w:sz w:val="28"/>
          <w:szCs w:val="28"/>
        </w:rPr>
        <w:tab/>
        <w:t xml:space="preserve">        </w:t>
      </w:r>
    </w:p>
    <w:p w:rsidR="003752CF" w:rsidRPr="005F0001" w:rsidRDefault="003752CF" w:rsidP="004C5401">
      <w:pPr>
        <w:jc w:val="both"/>
        <w:rPr>
          <w:rFonts w:ascii="Century Gothic" w:hAnsi="Century Gothic" w:cs="Arial"/>
          <w:b/>
          <w:bCs/>
          <w:sz w:val="28"/>
          <w:szCs w:val="28"/>
        </w:rPr>
      </w:pPr>
    </w:p>
    <w:p w:rsidR="005F0001" w:rsidRPr="005F0001" w:rsidRDefault="005F0001" w:rsidP="005F0001">
      <w:pPr>
        <w:spacing w:before="100" w:beforeAutospacing="1" w:after="100" w:afterAutospacing="1"/>
        <w:outlineLvl w:val="3"/>
        <w:rPr>
          <w:rFonts w:ascii="Century Gothic" w:hAnsi="Century Gothic"/>
          <w:b/>
          <w:bCs/>
        </w:rPr>
      </w:pPr>
      <w:r w:rsidRPr="005F0001">
        <w:rPr>
          <w:rFonts w:ascii="Century Gothic" w:hAnsi="Century Gothic"/>
          <w:b/>
          <w:bCs/>
        </w:rPr>
        <w:t>Background</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 xml:space="preserve">The Evangelical Lutheran Church in America (ELCA) gives expression to this church's concern for corporate social responsibility – both in its internal activities and in its interaction in the broader society – through exercising its rights as a corporate shareholder on issues of social concern. This is accomplished through screening of stock ownership, casting of shareholder ballots, filing of shareholder resolutions, and dialogue with corporations to address these issues. For the </w:t>
      </w:r>
      <w:proofErr w:type="spellStart"/>
      <w:r w:rsidRPr="005F0001">
        <w:rPr>
          <w:rFonts w:ascii="Century Gothic" w:hAnsi="Century Gothic"/>
        </w:rPr>
        <w:t>churchwide</w:t>
      </w:r>
      <w:proofErr w:type="spellEnd"/>
      <w:r w:rsidRPr="005F0001">
        <w:rPr>
          <w:rFonts w:ascii="Century Gothic" w:hAnsi="Century Gothic"/>
        </w:rPr>
        <w:t xml:space="preserve"> organization and for separately incorporated ministries, the ELCA makes recommendations regarding shareholder action. Individual Lutherans and other organizations are encouraged to apply these recommendations within their own portfolios.</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 xml:space="preserve">In determining precise actions to take or recommend, the ELCA draws on the foundation of its social policy. This policy consists of social statements, messages, and </w:t>
      </w:r>
      <w:proofErr w:type="spellStart"/>
      <w:r w:rsidRPr="005F0001">
        <w:rPr>
          <w:rFonts w:ascii="Century Gothic" w:hAnsi="Century Gothic"/>
        </w:rPr>
        <w:t>Churchwide</w:t>
      </w:r>
      <w:proofErr w:type="spellEnd"/>
      <w:r w:rsidRPr="005F0001">
        <w:rPr>
          <w:rFonts w:ascii="Century Gothic" w:hAnsi="Century Gothic"/>
        </w:rPr>
        <w:t xml:space="preserve"> Assembly and Church Council social policy resolutions and reflects an understanding of this church’s social responsibility that includes theological, social, and ethical considerations.</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The issues brought to the ELCA regarding corporate social responsibility are complex, and the possible responses are multi-dimensional. In November 2003, the ELCA Church Council put in place a process for writing and approving an issue paper that addresses a concern within society that may require action by the ELCA Corporate Social Responsibility program (CSR). Issue papers interpret the social teaching of this church as they relate to investments.</w:t>
      </w:r>
      <w:r w:rsidRPr="005F0001">
        <w:rPr>
          <w:rFonts w:ascii="Century Gothic" w:hAnsi="Century Gothic"/>
        </w:rPr>
        <w:br/>
      </w:r>
      <w:r w:rsidRPr="005F0001">
        <w:rPr>
          <w:rFonts w:ascii="Century Gothic" w:hAnsi="Century Gothic"/>
        </w:rPr>
        <w:br/>
        <w:t xml:space="preserve">A standard format for an issue paper includes: </w:t>
      </w:r>
    </w:p>
    <w:p w:rsidR="005F0001" w:rsidRPr="005F0001" w:rsidRDefault="005F0001" w:rsidP="005F0001">
      <w:pPr>
        <w:numPr>
          <w:ilvl w:val="1"/>
          <w:numId w:val="9"/>
        </w:numPr>
        <w:spacing w:before="100" w:beforeAutospacing="1" w:after="100" w:afterAutospacing="1"/>
        <w:rPr>
          <w:rFonts w:ascii="Century Gothic" w:hAnsi="Century Gothic"/>
        </w:rPr>
      </w:pPr>
      <w:r w:rsidRPr="005F0001">
        <w:rPr>
          <w:rFonts w:ascii="Century Gothic" w:hAnsi="Century Gothic"/>
        </w:rPr>
        <w:t>Overview of</w:t>
      </w:r>
      <w:r>
        <w:rPr>
          <w:rFonts w:ascii="Century Gothic" w:hAnsi="Century Gothic"/>
        </w:rPr>
        <w:t xml:space="preserve"> the problem/issue in society; </w:t>
      </w:r>
    </w:p>
    <w:p w:rsidR="005F0001" w:rsidRPr="005F0001" w:rsidRDefault="005F0001" w:rsidP="005F0001">
      <w:pPr>
        <w:numPr>
          <w:ilvl w:val="1"/>
          <w:numId w:val="9"/>
        </w:numPr>
        <w:spacing w:before="100" w:beforeAutospacing="1" w:after="100" w:afterAutospacing="1"/>
        <w:rPr>
          <w:rFonts w:ascii="Century Gothic" w:hAnsi="Century Gothic"/>
        </w:rPr>
      </w:pPr>
      <w:r w:rsidRPr="005F0001">
        <w:rPr>
          <w:rFonts w:ascii="Century Gothic" w:hAnsi="Century Gothic"/>
        </w:rPr>
        <w:t xml:space="preserve">Review of ELCA social policy surrounding the issue; </w:t>
      </w:r>
    </w:p>
    <w:p w:rsidR="005F0001" w:rsidRPr="005F0001" w:rsidRDefault="005F0001" w:rsidP="005F0001">
      <w:pPr>
        <w:numPr>
          <w:ilvl w:val="1"/>
          <w:numId w:val="9"/>
        </w:numPr>
        <w:spacing w:before="100" w:beforeAutospacing="1" w:after="100" w:afterAutospacing="1"/>
        <w:rPr>
          <w:rFonts w:ascii="Century Gothic" w:hAnsi="Century Gothic"/>
        </w:rPr>
      </w:pPr>
      <w:r w:rsidRPr="005F0001">
        <w:rPr>
          <w:rFonts w:ascii="Century Gothic" w:hAnsi="Century Gothic"/>
        </w:rPr>
        <w:t xml:space="preserve">Proposals outlining how corporations might play a role in the solution to the issue (including a sample list of specific companies or sectors of industry that might be approached about the issue); </w:t>
      </w:r>
    </w:p>
    <w:p w:rsidR="005F0001" w:rsidRPr="005F0001" w:rsidRDefault="005F0001" w:rsidP="005F0001">
      <w:pPr>
        <w:numPr>
          <w:ilvl w:val="1"/>
          <w:numId w:val="9"/>
        </w:numPr>
        <w:spacing w:before="100" w:beforeAutospacing="1" w:after="100" w:afterAutospacing="1"/>
        <w:rPr>
          <w:rFonts w:ascii="Century Gothic" w:hAnsi="Century Gothic"/>
        </w:rPr>
      </w:pPr>
      <w:r w:rsidRPr="005F0001">
        <w:rPr>
          <w:rFonts w:ascii="Century Gothic" w:hAnsi="Century Gothic"/>
        </w:rPr>
        <w:t>Identification of any screens the ELCA would implement; and</w:t>
      </w:r>
    </w:p>
    <w:p w:rsidR="005F0001" w:rsidRPr="005F0001" w:rsidRDefault="005F0001" w:rsidP="005F0001">
      <w:pPr>
        <w:numPr>
          <w:ilvl w:val="1"/>
          <w:numId w:val="9"/>
        </w:numPr>
        <w:spacing w:before="100" w:beforeAutospacing="1" w:after="100" w:afterAutospacing="1"/>
        <w:rPr>
          <w:rFonts w:ascii="Century Gothic" w:hAnsi="Century Gothic"/>
        </w:rPr>
      </w:pPr>
      <w:r w:rsidRPr="005F0001">
        <w:rPr>
          <w:rFonts w:ascii="Century Gothic" w:hAnsi="Century Gothic"/>
        </w:rPr>
        <w:t>The boundaries of resolved clauses that the ELCA would endorse.</w:t>
      </w:r>
    </w:p>
    <w:p w:rsidR="005F0001" w:rsidRDefault="005F0001" w:rsidP="005F0001">
      <w:pPr>
        <w:rPr>
          <w:rFonts w:ascii="Century Gothic" w:hAnsi="Century Gothic"/>
        </w:rPr>
      </w:pPr>
      <w:r w:rsidRPr="005F0001">
        <w:rPr>
          <w:rFonts w:ascii="Century Gothic" w:hAnsi="Century Gothic"/>
        </w:rPr>
        <w:t xml:space="preserve">Advocacy staff, through the use of the CSR consultant, will coordinate the writing and revision process for development of issue papers. </w:t>
      </w:r>
    </w:p>
    <w:p w:rsidR="000577C1" w:rsidRPr="005F0001" w:rsidRDefault="000577C1" w:rsidP="005F0001">
      <w:pPr>
        <w:rPr>
          <w:rFonts w:ascii="Century Gothic" w:hAnsi="Century Gothic"/>
        </w:rPr>
      </w:pPr>
      <w:bookmarkStart w:id="0" w:name="_GoBack"/>
      <w:bookmarkEnd w:id="0"/>
    </w:p>
    <w:p w:rsidR="005F0001" w:rsidRPr="005F0001" w:rsidRDefault="005F0001" w:rsidP="005F0001">
      <w:pPr>
        <w:spacing w:before="100" w:beforeAutospacing="1" w:after="100" w:afterAutospacing="1"/>
        <w:outlineLvl w:val="3"/>
        <w:rPr>
          <w:rFonts w:ascii="Century Gothic" w:hAnsi="Century Gothic"/>
          <w:b/>
          <w:bCs/>
        </w:rPr>
      </w:pPr>
      <w:r w:rsidRPr="005F0001">
        <w:rPr>
          <w:rFonts w:ascii="Century Gothic" w:hAnsi="Century Gothic"/>
          <w:b/>
          <w:bCs/>
        </w:rPr>
        <w:lastRenderedPageBreak/>
        <w:t>New Issue Papers</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From time to time, the ELCA may wish to develop a new CSR issue paper. Sometimes a complex issue arises that cannot be covered by an existing paper or a revision of one. This situation would trigger development of a new paper. In addition, when each new ELCA social statement is approved, a review of all issue papers will be made to see if revisions to current issue papers are needed or if a new issue paper needs to be developed in light of the new social statement.</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 xml:space="preserve">New issue papers will be drafted with input from staff of Portico Benefit Services (formerly known as the Board of Pensions of the ELCA), the Portico Corporate Social Responsibility Committee, the director for studies, and other appropriate ELCA staff. Depending on the topic, others may be consulted for input and advice. When a new issue paper is refined and authorized by the executive director of the Congregational 2 and </w:t>
      </w:r>
      <w:proofErr w:type="spellStart"/>
      <w:r w:rsidRPr="005F0001">
        <w:rPr>
          <w:rFonts w:ascii="Century Gothic" w:hAnsi="Century Gothic"/>
        </w:rPr>
        <w:t>Synodical</w:t>
      </w:r>
      <w:proofErr w:type="spellEnd"/>
      <w:r w:rsidRPr="005F0001">
        <w:rPr>
          <w:rFonts w:ascii="Century Gothic" w:hAnsi="Century Gothic"/>
        </w:rPr>
        <w:t xml:space="preserve"> Mission unit of the </w:t>
      </w:r>
      <w:proofErr w:type="spellStart"/>
      <w:r w:rsidRPr="005F0001">
        <w:rPr>
          <w:rFonts w:ascii="Century Gothic" w:hAnsi="Century Gothic"/>
        </w:rPr>
        <w:t>churchwide</w:t>
      </w:r>
      <w:proofErr w:type="spellEnd"/>
      <w:r w:rsidRPr="005F0001">
        <w:rPr>
          <w:rFonts w:ascii="Century Gothic" w:hAnsi="Century Gothic"/>
        </w:rPr>
        <w:t xml:space="preserve"> organization, it will be taken to the Conference of Bishops for advice and forwarded to the Church Council for consideration and approval. </w:t>
      </w:r>
    </w:p>
    <w:p w:rsidR="005F0001" w:rsidRPr="005F0001" w:rsidRDefault="005F0001" w:rsidP="005F0001">
      <w:pPr>
        <w:spacing w:before="100" w:beforeAutospacing="1" w:after="100" w:afterAutospacing="1"/>
        <w:outlineLvl w:val="3"/>
        <w:rPr>
          <w:rFonts w:ascii="Century Gothic" w:hAnsi="Century Gothic"/>
          <w:b/>
          <w:bCs/>
        </w:rPr>
      </w:pPr>
      <w:r w:rsidRPr="005F0001">
        <w:rPr>
          <w:rFonts w:ascii="Century Gothic" w:hAnsi="Century Gothic"/>
          <w:b/>
          <w:bCs/>
        </w:rPr>
        <w:t>Review and Revision of Existing Issue Papers</w:t>
      </w:r>
    </w:p>
    <w:p w:rsidR="005F0001" w:rsidRPr="005F0001" w:rsidRDefault="005F0001" w:rsidP="005F0001">
      <w:pPr>
        <w:spacing w:before="100" w:beforeAutospacing="1" w:after="100" w:afterAutospacing="1"/>
        <w:rPr>
          <w:rFonts w:ascii="Century Gothic" w:hAnsi="Century Gothic"/>
        </w:rPr>
      </w:pPr>
      <w:r w:rsidRPr="005F0001">
        <w:rPr>
          <w:rFonts w:ascii="Century Gothic" w:hAnsi="Century Gothic"/>
        </w:rPr>
        <w:t xml:space="preserve">In order to assure timely review and revision of approved issue papers, the following guidelines will apply: </w:t>
      </w:r>
    </w:p>
    <w:p w:rsidR="005F0001" w:rsidRPr="005F0001" w:rsidRDefault="005F0001" w:rsidP="005F0001">
      <w:pPr>
        <w:numPr>
          <w:ilvl w:val="0"/>
          <w:numId w:val="10"/>
        </w:numPr>
        <w:spacing w:before="100" w:beforeAutospacing="1" w:after="100" w:afterAutospacing="1"/>
        <w:rPr>
          <w:rFonts w:ascii="Century Gothic" w:hAnsi="Century Gothic"/>
        </w:rPr>
      </w:pPr>
      <w:r w:rsidRPr="005F0001">
        <w:rPr>
          <w:rFonts w:ascii="Century Gothic" w:hAnsi="Century Gothic"/>
        </w:rPr>
        <w:t xml:space="preserve">Issue papers will be reviewed every four (4) years. The review will include research on the background materials and current ELCA social policy and will confirm or modify all web links in the document. Approval for these revisions will be treated in the same way as a new issue paper and therefore will be forwarded to the executive director of the Congregational and </w:t>
      </w:r>
      <w:proofErr w:type="spellStart"/>
      <w:r w:rsidRPr="005F0001">
        <w:rPr>
          <w:rFonts w:ascii="Century Gothic" w:hAnsi="Century Gothic"/>
        </w:rPr>
        <w:t>Synodical</w:t>
      </w:r>
      <w:proofErr w:type="spellEnd"/>
      <w:r w:rsidRPr="005F0001">
        <w:rPr>
          <w:rFonts w:ascii="Century Gothic" w:hAnsi="Century Gothic"/>
        </w:rPr>
        <w:t xml:space="preserve"> Mission unit for authorization, for advice from the Conference of Bishops, and for approval by the Church Council; </w:t>
      </w:r>
    </w:p>
    <w:p w:rsidR="005F0001" w:rsidRPr="005F0001" w:rsidRDefault="005F0001" w:rsidP="005F0001">
      <w:pPr>
        <w:numPr>
          <w:ilvl w:val="0"/>
          <w:numId w:val="10"/>
        </w:numPr>
        <w:spacing w:before="100" w:beforeAutospacing="1" w:after="100" w:afterAutospacing="1"/>
        <w:rPr>
          <w:rFonts w:ascii="Century Gothic" w:hAnsi="Century Gothic"/>
        </w:rPr>
      </w:pPr>
      <w:r w:rsidRPr="005F0001">
        <w:rPr>
          <w:rFonts w:ascii="Century Gothic" w:hAnsi="Century Gothic"/>
        </w:rPr>
        <w:t xml:space="preserve">Non-substantive revisions of issue papers may be approved at any time by the executive director of the Congregational and </w:t>
      </w:r>
      <w:proofErr w:type="spellStart"/>
      <w:r w:rsidRPr="005F0001">
        <w:rPr>
          <w:rFonts w:ascii="Century Gothic" w:hAnsi="Century Gothic"/>
        </w:rPr>
        <w:t>Synodical</w:t>
      </w:r>
      <w:proofErr w:type="spellEnd"/>
      <w:r w:rsidRPr="005F0001">
        <w:rPr>
          <w:rFonts w:ascii="Century Gothic" w:hAnsi="Century Gothic"/>
        </w:rPr>
        <w:t xml:space="preserve"> Mission unit and revisions will be included in the annual CSR report. (Examples may include such items as grammar, Web link substitutions, name changes, etc.); </w:t>
      </w:r>
    </w:p>
    <w:p w:rsidR="005F0001" w:rsidRPr="005F0001" w:rsidRDefault="005F0001" w:rsidP="005F0001">
      <w:pPr>
        <w:numPr>
          <w:ilvl w:val="0"/>
          <w:numId w:val="10"/>
        </w:numPr>
        <w:spacing w:before="100" w:beforeAutospacing="1" w:after="100" w:afterAutospacing="1"/>
        <w:rPr>
          <w:rFonts w:ascii="Century Gothic" w:hAnsi="Century Gothic"/>
        </w:rPr>
      </w:pPr>
      <w:r w:rsidRPr="005F0001">
        <w:rPr>
          <w:rFonts w:ascii="Century Gothic" w:hAnsi="Century Gothic"/>
        </w:rPr>
        <w:t xml:space="preserve">When additional resolution guidelines to support an issue are needed, they may be made at the recommendation of the CSR review team to the executive director of the Congregational and </w:t>
      </w:r>
      <w:proofErr w:type="spellStart"/>
      <w:r w:rsidRPr="005F0001">
        <w:rPr>
          <w:rFonts w:ascii="Century Gothic" w:hAnsi="Century Gothic"/>
        </w:rPr>
        <w:t>Synodical</w:t>
      </w:r>
      <w:proofErr w:type="spellEnd"/>
      <w:r w:rsidRPr="005F0001">
        <w:rPr>
          <w:rFonts w:ascii="Century Gothic" w:hAnsi="Century Gothic"/>
        </w:rPr>
        <w:t xml:space="preserve"> Mission unit for approval, provided that they are consistent with the original issue papers approved by the ELCA Church Council;</w:t>
      </w:r>
    </w:p>
    <w:p w:rsidR="005F0001" w:rsidRPr="005F0001" w:rsidRDefault="005F0001" w:rsidP="005F0001">
      <w:pPr>
        <w:numPr>
          <w:ilvl w:val="0"/>
          <w:numId w:val="10"/>
        </w:numPr>
        <w:spacing w:before="100" w:beforeAutospacing="1" w:after="100" w:afterAutospacing="1"/>
        <w:rPr>
          <w:rFonts w:ascii="Century Gothic" w:hAnsi="Century Gothic"/>
        </w:rPr>
      </w:pPr>
      <w:r w:rsidRPr="005F0001">
        <w:rPr>
          <w:rFonts w:ascii="Century Gothic" w:hAnsi="Century Gothic"/>
        </w:rPr>
        <w:t xml:space="preserve">If substantive changes to an issue paper need to be made, the matter will be treated as a new paper and forwarded to the executive director of Congregational and </w:t>
      </w:r>
      <w:proofErr w:type="spellStart"/>
      <w:r w:rsidRPr="005F0001">
        <w:rPr>
          <w:rFonts w:ascii="Century Gothic" w:hAnsi="Century Gothic"/>
        </w:rPr>
        <w:t>Synodical</w:t>
      </w:r>
      <w:proofErr w:type="spellEnd"/>
      <w:r w:rsidRPr="005F0001">
        <w:rPr>
          <w:rFonts w:ascii="Century Gothic" w:hAnsi="Century Gothic"/>
        </w:rPr>
        <w:t xml:space="preserve"> Mission unit for authorization, for advice from the Conference of Bishops, and for approval by the Church Council. Annual reports, including all resolutions that have been approved and/or filed, as well as information regarding ongoing dialogues, will be prepared by the CSR consultant and shared with the ELCA Church Council, the Conference of </w:t>
      </w:r>
      <w:r w:rsidRPr="005F0001">
        <w:rPr>
          <w:rFonts w:ascii="Century Gothic" w:hAnsi="Century Gothic"/>
        </w:rPr>
        <w:lastRenderedPageBreak/>
        <w:t>Bishops, and Portico, and may be shared with any ELCA-related organization and others. Approved by the Advisory Committee on Corporate Social Responsibility – May 24, 2007 Approved by Church Council – April 2012 (CC12.04.09)</w:t>
      </w:r>
    </w:p>
    <w:p w:rsidR="00B04CE6" w:rsidRPr="005F0001" w:rsidRDefault="00B04CE6" w:rsidP="00B04CE6">
      <w:pPr>
        <w:rPr>
          <w:rFonts w:ascii="Century Gothic" w:hAnsi="Century Gothic" w:cs="Arial"/>
          <w:bCs/>
        </w:rPr>
      </w:pPr>
    </w:p>
    <w:sectPr w:rsidR="00B04CE6" w:rsidRPr="005F0001" w:rsidSect="009F38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26B"/>
    <w:multiLevelType w:val="multilevel"/>
    <w:tmpl w:val="7EA86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A360D"/>
    <w:multiLevelType w:val="multilevel"/>
    <w:tmpl w:val="AF0A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C51AF"/>
    <w:multiLevelType w:val="multilevel"/>
    <w:tmpl w:val="D8E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748D1"/>
    <w:multiLevelType w:val="hybridMultilevel"/>
    <w:tmpl w:val="4732C21C"/>
    <w:lvl w:ilvl="0" w:tplc="8CD2BF76">
      <w:start w:val="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4">
    <w:nsid w:val="3C413CC7"/>
    <w:multiLevelType w:val="hybridMultilevel"/>
    <w:tmpl w:val="7DF23B66"/>
    <w:lvl w:ilvl="0" w:tplc="27928B9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740117"/>
    <w:multiLevelType w:val="multilevel"/>
    <w:tmpl w:val="0AF8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903BAE"/>
    <w:multiLevelType w:val="hybridMultilevel"/>
    <w:tmpl w:val="D3B2D974"/>
    <w:lvl w:ilvl="0" w:tplc="0F52292C">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812A99"/>
    <w:multiLevelType w:val="multilevel"/>
    <w:tmpl w:val="B5341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7F1EC6"/>
    <w:multiLevelType w:val="multilevel"/>
    <w:tmpl w:val="8F88C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545C27"/>
    <w:multiLevelType w:val="multilevel"/>
    <w:tmpl w:val="FE0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01"/>
    <w:rsid w:val="0000291F"/>
    <w:rsid w:val="00040455"/>
    <w:rsid w:val="000577C1"/>
    <w:rsid w:val="00063704"/>
    <w:rsid w:val="000D50D7"/>
    <w:rsid w:val="000F2B1F"/>
    <w:rsid w:val="00161C13"/>
    <w:rsid w:val="00163E4B"/>
    <w:rsid w:val="00165CE7"/>
    <w:rsid w:val="001C5B30"/>
    <w:rsid w:val="001F7E99"/>
    <w:rsid w:val="002060C2"/>
    <w:rsid w:val="00206746"/>
    <w:rsid w:val="00236C29"/>
    <w:rsid w:val="00246E47"/>
    <w:rsid w:val="0032344D"/>
    <w:rsid w:val="003752CF"/>
    <w:rsid w:val="00413979"/>
    <w:rsid w:val="004635B7"/>
    <w:rsid w:val="00480C89"/>
    <w:rsid w:val="004B1E3C"/>
    <w:rsid w:val="004C5401"/>
    <w:rsid w:val="00534629"/>
    <w:rsid w:val="00537C0F"/>
    <w:rsid w:val="00584995"/>
    <w:rsid w:val="005C5624"/>
    <w:rsid w:val="005E1CC3"/>
    <w:rsid w:val="005F0001"/>
    <w:rsid w:val="005F13F5"/>
    <w:rsid w:val="00604A69"/>
    <w:rsid w:val="006319F5"/>
    <w:rsid w:val="0069722B"/>
    <w:rsid w:val="00753D1B"/>
    <w:rsid w:val="00804468"/>
    <w:rsid w:val="00840454"/>
    <w:rsid w:val="00851554"/>
    <w:rsid w:val="008760AA"/>
    <w:rsid w:val="0093784B"/>
    <w:rsid w:val="0096002C"/>
    <w:rsid w:val="009F1E6A"/>
    <w:rsid w:val="009F3862"/>
    <w:rsid w:val="00A41F98"/>
    <w:rsid w:val="00A4581F"/>
    <w:rsid w:val="00A46A85"/>
    <w:rsid w:val="00B04CE6"/>
    <w:rsid w:val="00B07BDF"/>
    <w:rsid w:val="00BC1AA0"/>
    <w:rsid w:val="00BC56F4"/>
    <w:rsid w:val="00C25AC9"/>
    <w:rsid w:val="00C314A1"/>
    <w:rsid w:val="00C335A0"/>
    <w:rsid w:val="00CE3036"/>
    <w:rsid w:val="00DD01E7"/>
    <w:rsid w:val="00EB1888"/>
    <w:rsid w:val="00ED1C8E"/>
    <w:rsid w:val="00F3775B"/>
    <w:rsid w:val="00F4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paragraph" w:styleId="Heading4">
    <w:name w:val="heading 4"/>
    <w:basedOn w:val="Normal"/>
    <w:link w:val="Heading4Char"/>
    <w:uiPriority w:val="9"/>
    <w:qFormat/>
    <w:locked/>
    <w:rsid w:val="005F00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semiHidden/>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 w:type="character" w:customStyle="1" w:styleId="Heading4Char">
    <w:name w:val="Heading 4 Char"/>
    <w:basedOn w:val="DefaultParagraphFont"/>
    <w:link w:val="Heading4"/>
    <w:uiPriority w:val="9"/>
    <w:rsid w:val="005F0001"/>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paragraph" w:styleId="Heading4">
    <w:name w:val="heading 4"/>
    <w:basedOn w:val="Normal"/>
    <w:link w:val="Heading4Char"/>
    <w:uiPriority w:val="9"/>
    <w:qFormat/>
    <w:locked/>
    <w:rsid w:val="005F00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semiHidden/>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 w:type="character" w:customStyle="1" w:styleId="Heading4Char">
    <w:name w:val="Heading 4 Char"/>
    <w:basedOn w:val="DefaultParagraphFont"/>
    <w:link w:val="Heading4"/>
    <w:uiPriority w:val="9"/>
    <w:rsid w:val="005F0001"/>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8329">
      <w:bodyDiv w:val="1"/>
      <w:marLeft w:val="0"/>
      <w:marRight w:val="0"/>
      <w:marTop w:val="0"/>
      <w:marBottom w:val="0"/>
      <w:divBdr>
        <w:top w:val="none" w:sz="0" w:space="0" w:color="auto"/>
        <w:left w:val="none" w:sz="0" w:space="0" w:color="auto"/>
        <w:bottom w:val="none" w:sz="0" w:space="0" w:color="auto"/>
        <w:right w:val="none" w:sz="0" w:space="0" w:color="auto"/>
      </w:divBdr>
      <w:divsChild>
        <w:div w:id="1965191623">
          <w:marLeft w:val="0"/>
          <w:marRight w:val="0"/>
          <w:marTop w:val="0"/>
          <w:marBottom w:val="0"/>
          <w:divBdr>
            <w:top w:val="none" w:sz="0" w:space="0" w:color="auto"/>
            <w:left w:val="none" w:sz="0" w:space="0" w:color="auto"/>
            <w:bottom w:val="none" w:sz="0" w:space="0" w:color="auto"/>
            <w:right w:val="none" w:sz="0" w:space="0" w:color="auto"/>
          </w:divBdr>
          <w:divsChild>
            <w:div w:id="2117864522">
              <w:marLeft w:val="0"/>
              <w:marRight w:val="0"/>
              <w:marTop w:val="0"/>
              <w:marBottom w:val="0"/>
              <w:divBdr>
                <w:top w:val="none" w:sz="0" w:space="0" w:color="auto"/>
                <w:left w:val="none" w:sz="0" w:space="0" w:color="auto"/>
                <w:bottom w:val="none" w:sz="0" w:space="0" w:color="auto"/>
                <w:right w:val="none" w:sz="0" w:space="0" w:color="auto"/>
              </w:divBdr>
              <w:divsChild>
                <w:div w:id="552618126">
                  <w:marLeft w:val="0"/>
                  <w:marRight w:val="0"/>
                  <w:marTop w:val="0"/>
                  <w:marBottom w:val="0"/>
                  <w:divBdr>
                    <w:top w:val="none" w:sz="0" w:space="0" w:color="auto"/>
                    <w:left w:val="none" w:sz="0" w:space="0" w:color="auto"/>
                    <w:bottom w:val="none" w:sz="0" w:space="0" w:color="auto"/>
                    <w:right w:val="none" w:sz="0" w:space="0" w:color="auto"/>
                  </w:divBdr>
                  <w:divsChild>
                    <w:div w:id="61755202">
                      <w:blockQuote w:val="1"/>
                      <w:marLeft w:val="720"/>
                      <w:marRight w:val="0"/>
                      <w:marTop w:val="100"/>
                      <w:marBottom w:val="100"/>
                      <w:divBdr>
                        <w:top w:val="none" w:sz="0" w:space="0" w:color="auto"/>
                        <w:left w:val="none" w:sz="0" w:space="0" w:color="auto"/>
                        <w:bottom w:val="none" w:sz="0" w:space="0" w:color="auto"/>
                        <w:right w:val="none" w:sz="0" w:space="0" w:color="auto"/>
                      </w:divBdr>
                    </w:div>
                    <w:div w:id="819737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60159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22911775">
      <w:bodyDiv w:val="1"/>
      <w:marLeft w:val="0"/>
      <w:marRight w:val="0"/>
      <w:marTop w:val="0"/>
      <w:marBottom w:val="0"/>
      <w:divBdr>
        <w:top w:val="none" w:sz="0" w:space="0" w:color="auto"/>
        <w:left w:val="none" w:sz="0" w:space="0" w:color="auto"/>
        <w:bottom w:val="none" w:sz="0" w:space="0" w:color="auto"/>
        <w:right w:val="none" w:sz="0" w:space="0" w:color="auto"/>
      </w:divBdr>
      <w:divsChild>
        <w:div w:id="1665235184">
          <w:marLeft w:val="0"/>
          <w:marRight w:val="0"/>
          <w:marTop w:val="0"/>
          <w:marBottom w:val="0"/>
          <w:divBdr>
            <w:top w:val="none" w:sz="0" w:space="0" w:color="auto"/>
            <w:left w:val="none" w:sz="0" w:space="0" w:color="auto"/>
            <w:bottom w:val="none" w:sz="0" w:space="0" w:color="auto"/>
            <w:right w:val="none" w:sz="0" w:space="0" w:color="auto"/>
          </w:divBdr>
          <w:divsChild>
            <w:div w:id="1942106271">
              <w:marLeft w:val="0"/>
              <w:marRight w:val="0"/>
              <w:marTop w:val="0"/>
              <w:marBottom w:val="0"/>
              <w:divBdr>
                <w:top w:val="none" w:sz="0" w:space="0" w:color="auto"/>
                <w:left w:val="none" w:sz="0" w:space="0" w:color="auto"/>
                <w:bottom w:val="none" w:sz="0" w:space="0" w:color="auto"/>
                <w:right w:val="none" w:sz="0" w:space="0" w:color="auto"/>
              </w:divBdr>
              <w:divsChild>
                <w:div w:id="14110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063">
      <w:bodyDiv w:val="1"/>
      <w:marLeft w:val="0"/>
      <w:marRight w:val="0"/>
      <w:marTop w:val="0"/>
      <w:marBottom w:val="0"/>
      <w:divBdr>
        <w:top w:val="none" w:sz="0" w:space="0" w:color="auto"/>
        <w:left w:val="none" w:sz="0" w:space="0" w:color="auto"/>
        <w:bottom w:val="none" w:sz="0" w:space="0" w:color="auto"/>
        <w:right w:val="none" w:sz="0" w:space="0" w:color="auto"/>
      </w:divBdr>
      <w:divsChild>
        <w:div w:id="825391015">
          <w:marLeft w:val="0"/>
          <w:marRight w:val="0"/>
          <w:marTop w:val="0"/>
          <w:marBottom w:val="0"/>
          <w:divBdr>
            <w:top w:val="none" w:sz="0" w:space="0" w:color="auto"/>
            <w:left w:val="none" w:sz="0" w:space="0" w:color="auto"/>
            <w:bottom w:val="none" w:sz="0" w:space="0" w:color="auto"/>
            <w:right w:val="none" w:sz="0" w:space="0" w:color="auto"/>
          </w:divBdr>
          <w:divsChild>
            <w:div w:id="1421564775">
              <w:marLeft w:val="0"/>
              <w:marRight w:val="0"/>
              <w:marTop w:val="0"/>
              <w:marBottom w:val="0"/>
              <w:divBdr>
                <w:top w:val="none" w:sz="0" w:space="0" w:color="auto"/>
                <w:left w:val="none" w:sz="0" w:space="0" w:color="auto"/>
                <w:bottom w:val="none" w:sz="0" w:space="0" w:color="auto"/>
                <w:right w:val="none" w:sz="0" w:space="0" w:color="auto"/>
              </w:divBdr>
              <w:divsChild>
                <w:div w:id="9766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olicyDirtyBag xmlns="microsoft.office.server.policy.changes">
  <Microsoft.Office.RecordsManagement.PolicyFeatures.Expiration op="Delet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31</Value>
      <Value>148</Value>
      <Value>146</Value>
      <Value>430</Value>
      <Value>71</Value>
      <Value>124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4D3JZ2TK2AEZ-1706065743-61861</_dlc_DocId>
    <_dlc_DocIdUrl xmlns="443b974f-4cf2-4f2b-8081-287a5ea837dc">
      <Url>https://elcacwo.sharepoint.com/sites/ITStaff/_layouts/15/DocIdRedir.aspx?ID=4D3JZ2TK2AEZ-1706065743-61861</Url>
      <Description>4D3JZ2TK2AEZ-1706065743-61861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288D46-0E4A-46DA-B8DD-61C17DA3043E}"/>
</file>

<file path=customXml/itemProps2.xml><?xml version="1.0" encoding="utf-8"?>
<ds:datastoreItem xmlns:ds="http://schemas.openxmlformats.org/officeDocument/2006/customXml" ds:itemID="{95E6FF34-A6A6-49E6-BF3F-C440A1AD04E1}"/>
</file>

<file path=customXml/itemProps3.xml><?xml version="1.0" encoding="utf-8"?>
<ds:datastoreItem xmlns:ds="http://schemas.openxmlformats.org/officeDocument/2006/customXml" ds:itemID="{13A8715F-1BFE-4607-A04C-BE608AF61FA7}"/>
</file>

<file path=customXml/itemProps4.xml><?xml version="1.0" encoding="utf-8"?>
<ds:datastoreItem xmlns:ds="http://schemas.openxmlformats.org/officeDocument/2006/customXml" ds:itemID="{369B5714-AAF6-4C8F-A48D-DAF4C09934DA}"/>
</file>

<file path=customXml/itemProps5.xml><?xml version="1.0" encoding="utf-8"?>
<ds:datastoreItem xmlns:ds="http://schemas.openxmlformats.org/officeDocument/2006/customXml" ds:itemID="{632599BE-7912-4DC3-82FE-6E905A37FA84}"/>
</file>

<file path=customXml/itemProps6.xml><?xml version="1.0" encoding="utf-8"?>
<ds:datastoreItem xmlns:ds="http://schemas.openxmlformats.org/officeDocument/2006/customXml" ds:itemID="{DC965972-1FEB-4E4B-B648-1FD81B1B273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Issue_Paper_Policy_And_Procedures.doc.docx</dc:title>
  <cp:revision>2</cp:revision>
  <cp:lastPrinted>2012-01-23T17:24:00Z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_dlc_DocIdItemGuid">
    <vt:lpwstr>66c5d9c4-f6a9-4d8a-b9bf-851ee1551cc7</vt:lpwstr>
  </property>
  <property fmtid="{D5CDD505-2E9C-101B-9397-08002B2CF9AE}" pid="4" name="b8cf5103550044b6adff90de73dcc70d">
    <vt:lpwstr>Policy and Procedures|532cbabb-30cb-4f77-8a7a-06e7edcd574c</vt:lpwstr>
  </property>
  <property fmtid="{D5CDD505-2E9C-101B-9397-08002B2CF9AE}" pid="5" name="pff9ff76d6d04245968fbeacd7773757">
    <vt:lpwstr>English|2a561fb9-8cee-4c70-9ce6-5f63a2094213</vt:lpwstr>
  </property>
  <property fmtid="{D5CDD505-2E9C-101B-9397-08002B2CF9AE}" pid="6" name="p0eec0248d09446db2b674e7726de702">
    <vt:lpwstr>Churchwide|b8772be5-8020-4631-bc82-8ab3b026d6ff;Mission|34ee18bb-8701-4875-b6e2-da1d311b72a7;Advocacy|3ba1b293-324b-4083-8aa4-4a80fca9a62a</vt:lpwstr>
  </property>
  <property fmtid="{D5CDD505-2E9C-101B-9397-08002B2CF9AE}" pid="7" name="Resource_x0020_Subcategory">
    <vt:lpwstr>148;#Policy and Procedures|532cbabb-30cb-4f77-8a7a-06e7edcd574c</vt:lpwstr>
  </property>
  <property fmtid="{D5CDD505-2E9C-101B-9397-08002B2CF9AE}" pid="8" name="dbcb669f85a94c79882e4591e49db382">
    <vt:lpwstr>Corporate Social Responsiblity|7e6cf51d-c73c-4d87-b4df-0d0f669a2870</vt:lpwstr>
  </property>
  <property fmtid="{D5CDD505-2E9C-101B-9397-08002B2CF9AE}" pid="9" name="f4e18a6ced514bde9eff9825603cfd24">
    <vt:lpwstr>Gift Planner|2fda4aba-3be9-4560-967a-68df75db8ad9</vt:lpwstr>
  </property>
  <property fmtid="{D5CDD505-2E9C-101B-9397-08002B2CF9AE}" pid="10" name="TaxCatchAll">
    <vt:lpwstr>40;# Mission|a042cb57-7a60-4d8f-8208-83fada79f36d;#31;#Gift Planner|2fda4aba-3be9-4560-967a-68df75db8ad9;#148;#Policy and Procedures|532cbabb-30cb-4f77-8a7a-06e7edcd574c;#146;#Corporate Social Responsiblity|7e6cf51d-c73c-4d87-b4df-0d0f669a2870;#5;#English|2a561fb9-8cee-4c70-9ce6-5f63a2094213;#24;# Lay Leader Congregation|881de020-6e76-4c00-8908-5d8661fdc961;#114;# Money|e97263c1-e745-4ebc-a500-7d28ff72a9b0;#124;# Advocacy|3ba1b293-324b-4083-8aa4-4a80fca9a62a;#71;#Churchwide|b8772be5-8020-4631-bc82-8ab3b026d6ff</vt:lpwstr>
  </property>
  <property fmtid="{D5CDD505-2E9C-101B-9397-08002B2CF9AE}" pid="11" name="Resource Category">
    <vt:lpwstr>146;#Corporate Social Responsiblity|7e6cf51d-c73c-4d87-b4df-0d0f669a2870</vt:lpwstr>
  </property>
  <property fmtid="{D5CDD505-2E9C-101B-9397-08002B2CF9AE}" pid="12" name="Resource Primary Audience">
    <vt:lpwstr>31;#Gift Planner|2fda4aba-3be9-4560-967a-68df75db8ad9</vt:lpwstr>
  </property>
  <property fmtid="{D5CDD505-2E9C-101B-9397-08002B2CF9AE}" pid="13" name="Resource Language">
    <vt:lpwstr>5;#English|2a561fb9-8cee-4c70-9ce6-5f63a2094213</vt:lpwstr>
  </property>
  <property fmtid="{D5CDD505-2E9C-101B-9397-08002B2CF9AE}" pid="14" name="Resource Interests">
    <vt:lpwstr>71;#Churchwide|b8772be5-8020-4631-bc82-8ab3b026d6ff;#430;#Mission|34ee18bb-8701-4875-b6e2-da1d311b72a7;#124;#Advocacy|3ba1b293-324b-4083-8aa4-4a80fca9a62a</vt:lpwstr>
  </property>
  <property fmtid="{D5CDD505-2E9C-101B-9397-08002B2CF9AE}" pid="15" name="Resource Subcategory">
    <vt:lpwstr>148;#Policy and Procedures|532cbabb-30cb-4f77-8a7a-06e7edcd574c</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e3ef69b2-e679-4790-b439-7098d68d73eb,6;</vt:lpwstr>
  </property>
  <property fmtid="{D5CDD505-2E9C-101B-9397-08002B2CF9AE}" pid="19" name="Resource Title Metrics">
    <vt:lpwstr>4654</vt:lpwstr>
  </property>
  <property fmtid="{D5CDD505-2E9C-101B-9397-08002B2CF9AE}" pid="20" name="Metrics File with Extension">
    <vt:lpwstr>4654</vt:lpwstr>
  </property>
</Properties>
</file>